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1500188" cy="145792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00188" cy="145792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What is Title IX?</w:t>
      </w:r>
    </w:p>
    <w:p w:rsidR="00000000" w:rsidDel="00000000" w:rsidP="00000000" w:rsidRDefault="00000000" w:rsidRPr="00000000" w14:paraId="00000004">
      <w:pPr>
        <w:spacing w:line="240" w:lineRule="auto"/>
        <w:rPr/>
      </w:pPr>
      <w:r w:rsidDel="00000000" w:rsidR="00000000" w:rsidRPr="00000000">
        <w:rPr>
          <w:rtl w:val="0"/>
        </w:rPr>
        <w:t xml:space="preserve">Title IX is a comprehensive federal law that prohibits discrimination on the basis of </w:t>
      </w:r>
      <w:r w:rsidDel="00000000" w:rsidR="00000000" w:rsidRPr="00000000">
        <w:rPr>
          <w:color w:val="1c1c1c"/>
          <w:highlight w:val="white"/>
          <w:rtl w:val="0"/>
        </w:rPr>
        <w:t xml:space="preserve">race, color, ancestry, national origin, ethnic group identification, age, religion, marital or parental status, physical or mental disability, sex, sexual orientation, gender, gender identity, or gender expression; the perception of one or more of such characteristics; or association with a person or group with one or more of these actual or perceived characteristics </w:t>
      </w:r>
      <w:r w:rsidDel="00000000" w:rsidR="00000000" w:rsidRPr="00000000">
        <w:rPr>
          <w:rtl w:val="0"/>
        </w:rPr>
        <w:t xml:space="preserve">in any federally funded education program or activity. The following information regarding Title IX is provided as per SB1375, signed into law by Governor Brown in 2016, and effective as of July</w:t>
      </w:r>
    </w:p>
    <w:p w:rsidR="00000000" w:rsidDel="00000000" w:rsidP="00000000" w:rsidRDefault="00000000" w:rsidRPr="00000000" w14:paraId="00000005">
      <w:pPr>
        <w:spacing w:line="240" w:lineRule="auto"/>
        <w:rPr/>
      </w:pPr>
      <w:r w:rsidDel="00000000" w:rsidR="00000000" w:rsidRPr="00000000">
        <w:rPr>
          <w:rtl w:val="0"/>
        </w:rPr>
        <w:t xml:space="preserve">1, 2017.</w:t>
      </w:r>
    </w:p>
    <w:p w:rsidR="00000000" w:rsidDel="00000000" w:rsidP="00000000" w:rsidRDefault="00000000" w:rsidRPr="00000000" w14:paraId="00000006">
      <w:pPr>
        <w:spacing w:line="240" w:lineRule="auto"/>
        <w:rPr>
          <w:sz w:val="20"/>
          <w:szCs w:val="20"/>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Reference:</w:t>
      </w:r>
    </w:p>
    <w:p w:rsidR="00000000" w:rsidDel="00000000" w:rsidP="00000000" w:rsidRDefault="00000000" w:rsidRPr="00000000" w14:paraId="00000008">
      <w:pPr>
        <w:numPr>
          <w:ilvl w:val="0"/>
          <w:numId w:val="1"/>
        </w:numPr>
        <w:shd w:fill="ffffff" w:val="clear"/>
        <w:spacing w:after="0" w:afterAutospacing="0" w:before="240" w:line="240" w:lineRule="auto"/>
        <w:ind w:left="720" w:hanging="360"/>
        <w:rPr>
          <w:sz w:val="22"/>
          <w:szCs w:val="22"/>
        </w:rPr>
      </w:pPr>
      <w:hyperlink r:id="rId7">
        <w:r w:rsidDel="00000000" w:rsidR="00000000" w:rsidRPr="00000000">
          <w:rPr>
            <w:color w:val="00488a"/>
            <w:u w:val="single"/>
            <w:rtl w:val="0"/>
          </w:rPr>
          <w:t xml:space="preserve">California Education Code Sections 200-262.4</w:t>
        </w:r>
      </w:hyperlink>
      <w:r w:rsidDel="00000000" w:rsidR="00000000" w:rsidRPr="00000000">
        <w:rPr>
          <w:rtl w:val="0"/>
        </w:rPr>
      </w:r>
    </w:p>
    <w:p w:rsidR="00000000" w:rsidDel="00000000" w:rsidP="00000000" w:rsidRDefault="00000000" w:rsidRPr="00000000" w14:paraId="00000009">
      <w:pPr>
        <w:numPr>
          <w:ilvl w:val="0"/>
          <w:numId w:val="1"/>
        </w:numPr>
        <w:shd w:fill="ffffff" w:val="clear"/>
        <w:spacing w:after="0" w:afterAutospacing="0" w:before="0" w:beforeAutospacing="0" w:line="240" w:lineRule="auto"/>
        <w:ind w:left="720" w:hanging="360"/>
        <w:rPr>
          <w:sz w:val="22"/>
          <w:szCs w:val="22"/>
        </w:rPr>
      </w:pPr>
      <w:hyperlink r:id="rId8">
        <w:r w:rsidDel="00000000" w:rsidR="00000000" w:rsidRPr="00000000">
          <w:rPr>
            <w:color w:val="00488a"/>
            <w:u w:val="single"/>
            <w:rtl w:val="0"/>
          </w:rPr>
          <w:t xml:space="preserve">Title IX of the Education Amendments of 1972 (20 United States Code 1681, 1682)</w:t>
        </w:r>
      </w:hyperlink>
      <w:r w:rsidDel="00000000" w:rsidR="00000000" w:rsidRPr="00000000">
        <w:rPr>
          <w:rtl w:val="0"/>
        </w:rPr>
      </w:r>
    </w:p>
    <w:p w:rsidR="00000000" w:rsidDel="00000000" w:rsidP="00000000" w:rsidRDefault="00000000" w:rsidRPr="00000000" w14:paraId="0000000A">
      <w:pPr>
        <w:numPr>
          <w:ilvl w:val="0"/>
          <w:numId w:val="1"/>
        </w:numPr>
        <w:shd w:fill="ffffff" w:val="clear"/>
        <w:spacing w:after="240" w:before="0" w:beforeAutospacing="0" w:line="240" w:lineRule="auto"/>
        <w:ind w:left="720" w:hanging="360"/>
        <w:rPr>
          <w:sz w:val="22"/>
          <w:szCs w:val="22"/>
        </w:rPr>
      </w:pPr>
      <w:r w:rsidDel="00000000" w:rsidR="00000000" w:rsidRPr="00000000">
        <w:rPr>
          <w:rtl w:val="0"/>
        </w:rPr>
        <w:t xml:space="preserve">Designation of Responsible Employee, Dissemination of Policy, and Adoption of Complaint Procedures (</w:t>
      </w:r>
      <w:hyperlink r:id="rId9">
        <w:r w:rsidDel="00000000" w:rsidR="00000000" w:rsidRPr="00000000">
          <w:rPr>
            <w:color w:val="00488a"/>
            <w:u w:val="single"/>
            <w:rtl w:val="0"/>
          </w:rPr>
          <w:t xml:space="preserve">34 Code of Federal Regulations Section</w:t>
        </w:r>
      </w:hyperlink>
      <w:hyperlink r:id="rId10">
        <w:r w:rsidDel="00000000" w:rsidR="00000000" w:rsidRPr="00000000">
          <w:rPr>
            <w:i w:val="1"/>
            <w:color w:val="00488a"/>
            <w:u w:val="single"/>
            <w:rtl w:val="0"/>
          </w:rPr>
          <w:t xml:space="preserve"> </w:t>
        </w:r>
      </w:hyperlink>
      <w:hyperlink r:id="rId11">
        <w:r w:rsidDel="00000000" w:rsidR="00000000" w:rsidRPr="00000000">
          <w:rPr>
            <w:color w:val="00488a"/>
            <w:u w:val="single"/>
            <w:rtl w:val="0"/>
          </w:rPr>
          <w:t xml:space="preserve">106.8</w:t>
        </w:r>
      </w:hyperlink>
      <w:r w:rsidDel="00000000" w:rsidR="00000000" w:rsidRPr="00000000">
        <w:rPr>
          <w:rtl w:val="0"/>
        </w:rPr>
        <w:t xml:space="preserve">)</w:t>
      </w:r>
    </w:p>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District Title IX Compliance Officer</w:t>
      </w:r>
    </w:p>
    <w:p w:rsidR="00000000" w:rsidDel="00000000" w:rsidP="00000000" w:rsidRDefault="00000000" w:rsidRPr="00000000" w14:paraId="0000000D">
      <w:pPr>
        <w:spacing w:line="240" w:lineRule="auto"/>
        <w:rPr/>
      </w:pPr>
      <w:r w:rsidDel="00000000" w:rsidR="00000000" w:rsidRPr="00000000">
        <w:rPr>
          <w:rtl w:val="0"/>
        </w:rPr>
        <w:t xml:space="preserve">Title IX requires that each school district have at least one person designated as the Title IX Coordinator. </w:t>
      </w:r>
    </w:p>
    <w:p w:rsidR="00000000" w:rsidDel="00000000" w:rsidP="00000000" w:rsidRDefault="00000000" w:rsidRPr="00000000" w14:paraId="0000000E">
      <w:pPr>
        <w:rPr>
          <w:b w:val="1"/>
        </w:rPr>
      </w:pPr>
      <w:r w:rsidDel="00000000" w:rsidR="00000000" w:rsidRPr="00000000">
        <w:rPr>
          <w:rtl w:val="0"/>
        </w:rPr>
        <w:tab/>
        <w:tab/>
        <w:t xml:space="preserve">           </w:t>
      </w:r>
      <w:r w:rsidDel="00000000" w:rsidR="00000000" w:rsidRPr="00000000">
        <w:rPr>
          <w:b w:val="1"/>
          <w:rtl w:val="0"/>
        </w:rPr>
        <w:t xml:space="preserve">Solana Beach School District Title IX Coordinator </w:t>
      </w:r>
    </w:p>
    <w:p w:rsidR="00000000" w:rsidDel="00000000" w:rsidP="00000000" w:rsidRDefault="00000000" w:rsidRPr="00000000" w14:paraId="0000000F">
      <w:pPr>
        <w:jc w:val="center"/>
        <w:rPr/>
      </w:pPr>
      <w:r w:rsidDel="00000000" w:rsidR="00000000" w:rsidRPr="00000000">
        <w:rPr>
          <w:rtl w:val="0"/>
        </w:rPr>
        <w:t xml:space="preserve">Lauren Leahy, Ed.D, Coordinator Student Services </w:t>
      </w:r>
    </w:p>
    <w:p w:rsidR="00000000" w:rsidDel="00000000" w:rsidP="00000000" w:rsidRDefault="00000000" w:rsidRPr="00000000" w14:paraId="00000010">
      <w:pPr>
        <w:jc w:val="center"/>
        <w:rPr/>
      </w:pPr>
      <w:r w:rsidDel="00000000" w:rsidR="00000000" w:rsidRPr="00000000">
        <w:rPr>
          <w:rtl w:val="0"/>
        </w:rPr>
        <w:t xml:space="preserve">Email: </w:t>
      </w:r>
      <w:hyperlink r:id="rId12">
        <w:r w:rsidDel="00000000" w:rsidR="00000000" w:rsidRPr="00000000">
          <w:rPr>
            <w:color w:val="1155cc"/>
            <w:u w:val="single"/>
            <w:rtl w:val="0"/>
          </w:rPr>
          <w:t xml:space="preserve">laurenleahy@sbsd.net</w:t>
        </w:r>
      </w:hyperlink>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t xml:space="preserve">Phone: 858-794-7186</w:t>
      </w:r>
    </w:p>
    <w:p w:rsidR="00000000" w:rsidDel="00000000" w:rsidP="00000000" w:rsidRDefault="00000000" w:rsidRPr="00000000" w14:paraId="00000012">
      <w:pPr>
        <w:jc w:val="center"/>
        <w:rPr/>
      </w:pPr>
      <w:r w:rsidDel="00000000" w:rsidR="00000000" w:rsidRPr="00000000">
        <w:rPr>
          <w:rtl w:val="0"/>
        </w:rPr>
        <w:t xml:space="preserve">Address: 309 N. Rios Avenue, Solana Beach, CA 92075</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color w:val="212529"/>
          <w:highlight w:val="white"/>
        </w:rPr>
      </w:pPr>
      <w:r w:rsidDel="00000000" w:rsidR="00000000" w:rsidRPr="00000000">
        <w:rPr>
          <w:b w:val="1"/>
          <w:color w:val="212529"/>
          <w:highlight w:val="white"/>
          <w:rtl w:val="0"/>
        </w:rPr>
        <w:t xml:space="preserve">Policies:</w:t>
      </w:r>
    </w:p>
    <w:p w:rsidR="00000000" w:rsidDel="00000000" w:rsidP="00000000" w:rsidRDefault="00000000" w:rsidRPr="00000000" w14:paraId="00000015">
      <w:pPr>
        <w:rPr>
          <w:color w:val="212529"/>
          <w:sz w:val="24"/>
          <w:szCs w:val="24"/>
          <w:highlight w:val="white"/>
        </w:rPr>
      </w:pPr>
      <w:hyperlink r:id="rId13">
        <w:r w:rsidDel="00000000" w:rsidR="00000000" w:rsidRPr="00000000">
          <w:rPr>
            <w:color w:val="1155cc"/>
            <w:sz w:val="24"/>
            <w:szCs w:val="24"/>
            <w:highlight w:val="white"/>
            <w:u w:val="single"/>
            <w:rtl w:val="0"/>
          </w:rPr>
          <w:t xml:space="preserve">Board Policy 5145.3 Nondiscrimination/Harassment</w:t>
        </w:r>
      </w:hyperlink>
      <w:r w:rsidDel="00000000" w:rsidR="00000000" w:rsidRPr="00000000">
        <w:rPr>
          <w:rtl w:val="0"/>
        </w:rPr>
      </w:r>
    </w:p>
    <w:p w:rsidR="00000000" w:rsidDel="00000000" w:rsidP="00000000" w:rsidRDefault="00000000" w:rsidRPr="00000000" w14:paraId="00000016">
      <w:pPr>
        <w:rPr>
          <w:color w:val="212529"/>
          <w:sz w:val="24"/>
          <w:szCs w:val="24"/>
          <w:highlight w:val="white"/>
        </w:rPr>
      </w:pPr>
      <w:hyperlink r:id="rId14">
        <w:r w:rsidDel="00000000" w:rsidR="00000000" w:rsidRPr="00000000">
          <w:rPr>
            <w:color w:val="1155cc"/>
            <w:sz w:val="24"/>
            <w:szCs w:val="24"/>
            <w:highlight w:val="white"/>
            <w:u w:val="single"/>
            <w:rtl w:val="0"/>
          </w:rPr>
          <w:t xml:space="preserve">Board Policy 5145.7 Sexual Harassment</w:t>
        </w:r>
      </w:hyperlink>
      <w:r w:rsidDel="00000000" w:rsidR="00000000" w:rsidRPr="00000000">
        <w:rPr>
          <w:rtl w:val="0"/>
        </w:rPr>
      </w:r>
    </w:p>
    <w:p w:rsidR="00000000" w:rsidDel="00000000" w:rsidP="00000000" w:rsidRDefault="00000000" w:rsidRPr="00000000" w14:paraId="00000017">
      <w:pPr>
        <w:rPr>
          <w:color w:val="212529"/>
          <w:sz w:val="24"/>
          <w:szCs w:val="24"/>
          <w:highlight w:val="white"/>
        </w:rPr>
      </w:pPr>
      <w:hyperlink r:id="rId15">
        <w:r w:rsidDel="00000000" w:rsidR="00000000" w:rsidRPr="00000000">
          <w:rPr>
            <w:color w:val="1155cc"/>
            <w:sz w:val="24"/>
            <w:szCs w:val="24"/>
            <w:highlight w:val="white"/>
            <w:u w:val="single"/>
            <w:rtl w:val="0"/>
          </w:rPr>
          <w:t xml:space="preserve">Board Policy 5145.9 Hate-Motivated Behavior</w:t>
        </w:r>
      </w:hyperlink>
      <w:r w:rsidDel="00000000" w:rsidR="00000000" w:rsidRPr="00000000">
        <w:rPr>
          <w:rtl w:val="0"/>
        </w:rPr>
      </w:r>
    </w:p>
    <w:p w:rsidR="00000000" w:rsidDel="00000000" w:rsidP="00000000" w:rsidRDefault="00000000" w:rsidRPr="00000000" w14:paraId="00000018">
      <w:pPr>
        <w:rPr>
          <w:color w:val="212529"/>
          <w:sz w:val="24"/>
          <w:szCs w:val="24"/>
          <w:highlight w:val="white"/>
        </w:rPr>
      </w:pPr>
      <w:r w:rsidDel="00000000" w:rsidR="00000000" w:rsidRPr="00000000">
        <w:rPr>
          <w:rtl w:val="0"/>
        </w:rPr>
      </w:r>
    </w:p>
    <w:p w:rsidR="00000000" w:rsidDel="00000000" w:rsidP="00000000" w:rsidRDefault="00000000" w:rsidRPr="00000000" w14:paraId="00000019">
      <w:pPr>
        <w:rPr>
          <w:color w:val="212529"/>
          <w:sz w:val="24"/>
          <w:szCs w:val="24"/>
          <w:highlight w:val="white"/>
        </w:rPr>
      </w:pPr>
      <w:r w:rsidDel="00000000" w:rsidR="00000000" w:rsidRPr="00000000">
        <w:rPr>
          <w:rtl w:val="0"/>
        </w:rPr>
      </w:r>
    </w:p>
    <w:p w:rsidR="00000000" w:rsidDel="00000000" w:rsidP="00000000" w:rsidRDefault="00000000" w:rsidRPr="00000000" w14:paraId="0000001A">
      <w:pPr>
        <w:rPr>
          <w:color w:val="212529"/>
          <w:sz w:val="24"/>
          <w:szCs w:val="24"/>
          <w:highlight w:val="white"/>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ecfr.federalregister.gov/current/title-34/subtitle-B/chapter-I/part-106#section-106.8" TargetMode="External"/><Relationship Id="rId10" Type="http://schemas.openxmlformats.org/officeDocument/2006/relationships/hyperlink" Target="https://ecfr.federalregister.gov/current/title-34/subtitle-B/chapter-I/part-106#section-106.8" TargetMode="External"/><Relationship Id="rId13" Type="http://schemas.openxmlformats.org/officeDocument/2006/relationships/hyperlink" Target="https://go.boarddocs.com/ca/solana/Board.nsf/goto?open&amp;id=B5N7WX1BAC94#" TargetMode="External"/><Relationship Id="rId12" Type="http://schemas.openxmlformats.org/officeDocument/2006/relationships/hyperlink" Target="mailto:laurenleahy@sbsd.n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cfr.federalregister.gov/current/title-34/subtitle-B/chapter-I/part-106#section-106.8" TargetMode="External"/><Relationship Id="rId15" Type="http://schemas.openxmlformats.org/officeDocument/2006/relationships/hyperlink" Target="https://go.boarddocs.com/ca/solana/Board.nsf/goto?open&amp;id=B5N7WX1BAC94#" TargetMode="External"/><Relationship Id="rId14" Type="http://schemas.openxmlformats.org/officeDocument/2006/relationships/hyperlink" Target="https://go.boarddocs.com/ca/solana/Board.nsf/goto?open&amp;id=B5N7WX1BAC94#"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leginfo.legislature.ca.gov/faces/codes_displayexpandedbranch.xhtml?tocCode=EDC&amp;division=1.&amp;title=1.&amp;part=1.&amp;chapter=2.&amp;article=" TargetMode="External"/><Relationship Id="rId8" Type="http://schemas.openxmlformats.org/officeDocument/2006/relationships/hyperlink" Target="https://www.govinfo.gov/content/pkg/USCODE-2018-title20/pdf/USCODE-2018-title20-chap38-sec168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